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Default="006C6A5E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17.12.2020</w:t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8A68F0" w:rsidRPr="002730F0" w:rsidRDefault="00C44829" w:rsidP="00013906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</w:t>
      </w:r>
    </w:p>
    <w:p w:rsidR="008A68F0" w:rsidRPr="002730F0" w:rsidRDefault="008A68F0" w:rsidP="008A68F0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C44829">
        <w:rPr>
          <w:bCs/>
          <w:sz w:val="28"/>
          <w:szCs w:val="28"/>
        </w:rPr>
        <w:t xml:space="preserve">40403,3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C44829">
        <w:rPr>
          <w:bCs/>
          <w:sz w:val="28"/>
          <w:szCs w:val="28"/>
        </w:rPr>
        <w:t xml:space="preserve">40403,3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FB0002">
        <w:rPr>
          <w:sz w:val="28"/>
          <w:szCs w:val="28"/>
          <w:shd w:val="clear" w:color="auto" w:fill="FFFFFF" w:themeFill="background1"/>
        </w:rPr>
        <w:t>1621,3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32324">
        <w:rPr>
          <w:sz w:val="28"/>
          <w:szCs w:val="28"/>
        </w:rPr>
        <w:t>0</w:t>
      </w:r>
      <w:r w:rsidR="00453609">
        <w:rPr>
          <w:sz w:val="28"/>
          <w:szCs w:val="28"/>
        </w:rPr>
        <w:t>,0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FB0002">
        <w:rPr>
          <w:sz w:val="28"/>
          <w:szCs w:val="28"/>
        </w:rPr>
        <w:t>11101,0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местного значения 7310,3 тыс. рублей.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DE7F9C" w:rsidRPr="00DE7F9C" w:rsidRDefault="00A24BBB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в сумме </w:t>
      </w:r>
      <w:r w:rsidR="00FB0002">
        <w:rPr>
          <w:sz w:val="28"/>
          <w:szCs w:val="28"/>
        </w:rPr>
        <w:t>1783,0</w:t>
      </w:r>
      <w:r w:rsidRPr="00DE7F9C">
        <w:rPr>
          <w:sz w:val="28"/>
          <w:szCs w:val="28"/>
        </w:rPr>
        <w:t xml:space="preserve"> тыс. рублей.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</w:p>
    <w:p w:rsidR="00C44829" w:rsidRDefault="00C44829" w:rsidP="00DE7F9C">
      <w:pPr>
        <w:ind w:firstLine="709"/>
        <w:jc w:val="both"/>
        <w:rPr>
          <w:b/>
          <w:sz w:val="28"/>
          <w:szCs w:val="28"/>
        </w:rPr>
      </w:pPr>
    </w:p>
    <w:p w:rsidR="00C44829" w:rsidRPr="00DE7F9C" w:rsidRDefault="00C44829" w:rsidP="00DE7F9C">
      <w:pPr>
        <w:ind w:firstLine="709"/>
        <w:jc w:val="both"/>
        <w:rPr>
          <w:b/>
          <w:sz w:val="28"/>
          <w:szCs w:val="28"/>
        </w:rPr>
      </w:pP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9B2C78" w:rsidRPr="002006B1" w:rsidRDefault="00F007A6" w:rsidP="009B2C78">
      <w:pPr>
        <w:ind w:firstLine="709"/>
        <w:jc w:val="both"/>
        <w:rPr>
          <w:sz w:val="28"/>
          <w:szCs w:val="28"/>
        </w:rPr>
      </w:pPr>
      <w:r w:rsidRPr="002006B1">
        <w:rPr>
          <w:sz w:val="28"/>
          <w:szCs w:val="28"/>
        </w:rPr>
        <w:t xml:space="preserve">Настоящее Решение вступает в силу с 1 января </w:t>
      </w:r>
      <w:r w:rsidR="00FB0002">
        <w:rPr>
          <w:sz w:val="28"/>
          <w:szCs w:val="28"/>
        </w:rPr>
        <w:t>2021</w:t>
      </w:r>
      <w:r w:rsidR="00013906" w:rsidRPr="002006B1">
        <w:rPr>
          <w:sz w:val="28"/>
          <w:szCs w:val="28"/>
        </w:rPr>
        <w:t xml:space="preserve"> год</w:t>
      </w:r>
      <w:r w:rsidRPr="002006B1">
        <w:rPr>
          <w:sz w:val="28"/>
          <w:szCs w:val="28"/>
        </w:rPr>
        <w:t>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6C6A5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490B42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C64D2C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Поступления от денежных пожертвований, предоставляемых физическим лицами получателям </w:t>
            </w:r>
            <w:r w:rsidRPr="001B7141">
              <w:rPr>
                <w:bCs/>
                <w:color w:val="000000"/>
              </w:rPr>
              <w:lastRenderedPageBreak/>
              <w:t>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122A62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200DF" w:rsidRDefault="005A773A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3A" w:rsidRPr="00176D55" w:rsidRDefault="005A773A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5A773A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5A773A" w:rsidRPr="00C1426E" w:rsidTr="006C6A5E">
        <w:trPr>
          <w:trHeight w:val="299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6C6A5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6A3EBF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6A3EBF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16212,7</w:t>
            </w:r>
          </w:p>
        </w:tc>
      </w:tr>
      <w:tr w:rsidR="005A773A" w:rsidRPr="001B7141" w:rsidTr="006A3E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6A3EBF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6A3EBF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6A3EBF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6A3EBF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6A3E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6A3EBF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3</w:t>
            </w:r>
          </w:p>
        </w:tc>
      </w:tr>
      <w:tr w:rsidR="005A773A" w:rsidRPr="001B7141" w:rsidTr="006A3EBF">
        <w:trPr>
          <w:trHeight w:val="11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77</w:t>
            </w:r>
            <w:r w:rsidRPr="001B7141">
              <w:t>,0</w:t>
            </w:r>
          </w:p>
        </w:tc>
      </w:tr>
      <w:tr w:rsidR="005A773A" w:rsidRPr="001B7141" w:rsidTr="006A3EBF">
        <w:trPr>
          <w:trHeight w:val="8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</w:pPr>
            <w:r>
              <w:t>220,0</w:t>
            </w:r>
          </w:p>
        </w:tc>
      </w:tr>
      <w:tr w:rsidR="005A773A" w:rsidRPr="001B7141" w:rsidTr="006A3EBF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6A3EBF">
        <w:trPr>
          <w:trHeight w:val="12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bCs/>
              </w:rPr>
            </w:pPr>
            <w:r>
              <w:rPr>
                <w:bCs/>
              </w:rPr>
              <w:t>24190,6</w:t>
            </w:r>
          </w:p>
        </w:tc>
      </w:tr>
      <w:tr w:rsidR="005A773A" w:rsidRPr="001B7141" w:rsidTr="006A3EBF">
        <w:trPr>
          <w:trHeight w:val="2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bCs/>
              </w:rPr>
            </w:pPr>
            <w:r>
              <w:rPr>
                <w:bCs/>
              </w:rPr>
              <w:t>24190,6</w:t>
            </w:r>
          </w:p>
        </w:tc>
      </w:tr>
      <w:tr w:rsidR="005A773A" w:rsidRPr="001B7141" w:rsidTr="006A3EBF">
        <w:trPr>
          <w:trHeight w:val="42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6A3EBF">
        <w:trPr>
          <w:trHeight w:val="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6A3EBF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6A3EBF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6A3EBF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6A3EBF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bCs/>
              </w:rPr>
            </w:pPr>
            <w:r>
              <w:rPr>
                <w:bCs/>
              </w:rPr>
              <w:t>40403,3</w:t>
            </w:r>
          </w:p>
        </w:tc>
      </w:tr>
    </w:tbl>
    <w:p w:rsidR="005A773A" w:rsidRPr="00944EFF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44EFF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BA422F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6C6A5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6C6A5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6C6A5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6C6A5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6C6A5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C44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40403,3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925C00" w:rsidP="0001755B">
            <w:pPr>
              <w:jc w:val="center"/>
              <w:rPr>
                <w:bCs/>
              </w:rPr>
            </w:pPr>
            <w:r>
              <w:rPr>
                <w:bCs/>
              </w:rPr>
              <w:t>10899</w:t>
            </w:r>
            <w:r w:rsidR="0001755B">
              <w:rPr>
                <w:bCs/>
              </w:rPr>
              <w:t>,3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bCs/>
              </w:rPr>
              <w:t>536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1755B" w:rsidP="00925C00">
            <w:pPr>
              <w:jc w:val="center"/>
            </w:pPr>
            <w:r>
              <w:t>3</w:t>
            </w:r>
            <w:r w:rsidR="00925C00">
              <w:t>99</w:t>
            </w:r>
            <w:r>
              <w:t>2,6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t>8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2046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11106,0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20467" w:rsidP="006D74F6">
            <w:pPr>
              <w:jc w:val="center"/>
            </w:pPr>
            <w:r>
              <w:t>11101,0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20467" w:rsidP="0001755B">
            <w:pPr>
              <w:jc w:val="center"/>
            </w:pPr>
            <w:r>
              <w:t>3350</w:t>
            </w:r>
            <w:r w:rsidR="00003FAB">
              <w:t>,0</w:t>
            </w:r>
          </w:p>
        </w:tc>
      </w:tr>
      <w:tr w:rsidR="00920467" w:rsidRPr="008B7ABA" w:rsidTr="00920467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467" w:rsidRPr="001B7141" w:rsidRDefault="00920467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467" w:rsidRPr="001B7141" w:rsidRDefault="00920467" w:rsidP="0001755B">
            <w:pPr>
              <w:jc w:val="both"/>
              <w:rPr>
                <w:bCs/>
              </w:rPr>
            </w:pPr>
            <w:r>
              <w:rPr>
                <w:bCs/>
              </w:rPr>
              <w:t>Жилищ</w:t>
            </w:r>
            <w:r w:rsidR="00756829">
              <w:rPr>
                <w:bCs/>
              </w:rPr>
              <w:t>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467" w:rsidRPr="001B7141" w:rsidRDefault="00920467" w:rsidP="00017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467" w:rsidRPr="001B7141" w:rsidRDefault="00920467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467" w:rsidRDefault="00920467" w:rsidP="0001755B">
            <w:pPr>
              <w:jc w:val="center"/>
            </w:pPr>
            <w:r>
              <w:t>150,0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200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A076BB" w:rsidP="00756829">
            <w:pPr>
              <w:jc w:val="center"/>
            </w:pPr>
            <w:r>
              <w:rPr>
                <w:bCs/>
              </w:rPr>
              <w:t>3</w:t>
            </w:r>
            <w:r w:rsidR="00756829">
              <w:rPr>
                <w:bCs/>
              </w:rPr>
              <w:t>0</w:t>
            </w:r>
            <w:r>
              <w:rPr>
                <w:bCs/>
              </w:rPr>
              <w:t>00,0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756829" w:rsidP="0001755B">
            <w:pPr>
              <w:jc w:val="center"/>
            </w:pPr>
            <w:r>
              <w:t>13900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756829" w:rsidP="0001755B">
            <w:pPr>
              <w:jc w:val="center"/>
            </w:pPr>
            <w:r>
              <w:t>13900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</w:t>
            </w:r>
            <w:r w:rsidR="00003FAB">
              <w:t>,</w:t>
            </w:r>
            <w:r>
              <w:t>2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112,2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C44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40403,3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6C6A5E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C44829" w:rsidP="006A3EBF">
            <w:pPr>
              <w:jc w:val="right"/>
              <w:rPr>
                <w:bCs/>
              </w:rPr>
            </w:pPr>
            <w:r>
              <w:rPr>
                <w:bCs/>
              </w:rPr>
              <w:t>40403,3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10899,3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6A3EBF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6A3EBF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7078E" w:rsidRPr="001B7141" w:rsidTr="006A3EBF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>
              <w:t>3992,6</w:t>
            </w:r>
          </w:p>
        </w:tc>
      </w:tr>
      <w:tr w:rsidR="0017078E" w:rsidRPr="001B7141" w:rsidTr="006A3EBF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CA66C0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8E2AD6" w:rsidTr="006A3EB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</w:t>
            </w:r>
            <w:r w:rsidRPr="001B50DF">
              <w:lastRenderedPageBreak/>
              <w:t>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  <w:r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11106,0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11101,0</w:t>
            </w:r>
          </w:p>
        </w:tc>
      </w:tr>
      <w:tr w:rsidR="0017078E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11101,0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11101,0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10835,4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3000,0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3000,0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7835,4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7835,4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3350,0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4C1355" w:rsidRDefault="0017078E" w:rsidP="006A3EBF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6A3EBF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6A3EBF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7078E" w:rsidRPr="001B7141" w:rsidTr="006A3EBF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10680,0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</w:t>
            </w:r>
            <w:r w:rsidRPr="00DF66D0">
              <w:lastRenderedPageBreak/>
              <w:t xml:space="preserve">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6A3EBF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Информационное обеспечение </w:t>
            </w:r>
            <w:r w:rsidRPr="001B7141"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C44829" w:rsidP="006A3EBF">
            <w:pPr>
              <w:jc w:val="right"/>
            </w:pPr>
            <w:r>
              <w:rPr>
                <w:bCs/>
              </w:rPr>
              <w:t>40403,3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6C6A5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1755B" w:rsidRPr="009B2681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17078E" w:rsidRPr="001B7141" w:rsidTr="001707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E" w:rsidRPr="001B7141" w:rsidRDefault="0017078E" w:rsidP="0017078E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17078E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17078E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C44829" w:rsidP="006A3EBF">
            <w:pPr>
              <w:jc w:val="right"/>
              <w:rPr>
                <w:bCs/>
              </w:rPr>
            </w:pPr>
            <w:r>
              <w:rPr>
                <w:bCs/>
              </w:rPr>
              <w:t>40403,3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10899,3</w:t>
            </w:r>
          </w:p>
        </w:tc>
      </w:tr>
      <w:tr w:rsidR="0017078E" w:rsidRPr="001B7141" w:rsidTr="0017078E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17078E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17078E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17078E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17078E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17078E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17078E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17078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17078E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17078E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17078E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7078E" w:rsidRPr="001B7141" w:rsidTr="0017078E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17078E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17078E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17078E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17078E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17078E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17078E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17078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17078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17078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</w:t>
            </w:r>
            <w:r w:rsidRPr="0067146B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17078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17078E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>
              <w:t>3992,6</w:t>
            </w:r>
          </w:p>
        </w:tc>
      </w:tr>
      <w:tr w:rsidR="0017078E" w:rsidRPr="001B7141" w:rsidTr="0017078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17078E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17078E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</w:t>
            </w:r>
            <w:r w:rsidRPr="001B7141">
              <w:lastRenderedPageBreak/>
              <w:t>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CA66C0" w:rsidP="006A3EBF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8E2AD6" w:rsidTr="0017078E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17078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1707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17078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17078E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17078E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17078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17078E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17078E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17078E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  <w:r w:rsidRPr="001B7141">
              <w:rPr>
                <w:bCs/>
              </w:rPr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17078E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</w:t>
            </w:r>
            <w:r w:rsidRPr="001B7141">
              <w:lastRenderedPageBreak/>
              <w:t xml:space="preserve">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17078E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17078E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17078E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17078E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11106,0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11101,0</w:t>
            </w:r>
          </w:p>
        </w:tc>
      </w:tr>
      <w:tr w:rsidR="0017078E" w:rsidRPr="001B7141" w:rsidTr="00A1794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</w:t>
            </w:r>
            <w:r w:rsidRPr="001B7141">
              <w:lastRenderedPageBreak/>
              <w:t>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11101,0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11101,0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10835,4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3000,0</w:t>
            </w:r>
          </w:p>
        </w:tc>
      </w:tr>
      <w:tr w:rsidR="0017078E" w:rsidRPr="001B7141" w:rsidTr="0017078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3000,0</w:t>
            </w:r>
          </w:p>
        </w:tc>
      </w:tr>
      <w:tr w:rsidR="0017078E" w:rsidRPr="001B7141" w:rsidTr="0017078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7835,4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7835,4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265,6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17078E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17078E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1707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17078E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3350,0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</w:t>
            </w:r>
            <w:r w:rsidRPr="001B7141">
              <w:lastRenderedPageBreak/>
              <w:t>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17078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4C1355" w:rsidRDefault="0017078E" w:rsidP="006A3EBF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7078E" w:rsidRPr="001B7141" w:rsidTr="0017078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1B7141" w:rsidTr="0017078E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17078E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17078E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комфортности </w:t>
            </w:r>
            <w:r w:rsidRPr="001B7141">
              <w:lastRenderedPageBreak/>
              <w:t>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7078E" w:rsidRPr="001B7141" w:rsidTr="0017078E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17078E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17078E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17078E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17078E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17078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17078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10680,0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17078E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17078E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17078E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17078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17078E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17078E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</w:t>
            </w:r>
            <w:r w:rsidRPr="001B7141">
              <w:lastRenderedPageBreak/>
              <w:t>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17078E" w:rsidRPr="001B7141" w:rsidTr="0017078E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17078E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17078E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17078E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17078E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17078E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17078E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17078E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17078E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17078E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17078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Default="0017078E" w:rsidP="0017078E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17078E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C44829" w:rsidP="006A3EBF">
            <w:pPr>
              <w:jc w:val="right"/>
            </w:pPr>
            <w:r>
              <w:rPr>
                <w:bCs/>
              </w:rPr>
              <w:t>40403,3</w:t>
            </w:r>
          </w:p>
        </w:tc>
      </w:tr>
    </w:tbl>
    <w:p w:rsidR="0001755B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6C6A5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0,0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01755B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rPr>
                <w:bCs/>
              </w:rPr>
              <w:t>+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rPr>
                <w:bCs/>
              </w:rPr>
              <w:t>+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rPr>
                <w:bCs/>
              </w:rPr>
              <w:t>+</w:t>
            </w:r>
            <w:r w:rsidR="00C44829">
              <w:rPr>
                <w:bCs/>
              </w:rPr>
              <w:t>40403,3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rPr>
                <w:bCs/>
              </w:rPr>
              <w:t>+</w:t>
            </w:r>
            <w:r w:rsidR="00C44829">
              <w:rPr>
                <w:bCs/>
              </w:rPr>
              <w:t>40403,3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6C6A5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6C6A5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65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sectPr w:rsidR="0001755B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99" w:rsidRDefault="005F2A99">
      <w:r>
        <w:separator/>
      </w:r>
    </w:p>
  </w:endnote>
  <w:endnote w:type="continuationSeparator" w:id="1">
    <w:p w:rsidR="005F2A99" w:rsidRDefault="005F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99" w:rsidRDefault="005F2A99">
      <w:r>
        <w:separator/>
      </w:r>
    </w:p>
  </w:footnote>
  <w:footnote w:type="continuationSeparator" w:id="1">
    <w:p w:rsidR="005F2A99" w:rsidRDefault="005F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29" w:rsidRPr="00042709" w:rsidRDefault="00CA66C0" w:rsidP="00042709">
    <w:pPr>
      <w:pStyle w:val="a8"/>
      <w:jc w:val="center"/>
    </w:pPr>
    <w:fldSimple w:instr=" PAGE   \* MERGEFORMAT ">
      <w:r w:rsidR="006C6A5E"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7414A"/>
    <w:rsid w:val="00086EC0"/>
    <w:rsid w:val="000B0D3C"/>
    <w:rsid w:val="000B1F90"/>
    <w:rsid w:val="000B2F5A"/>
    <w:rsid w:val="000B4A5B"/>
    <w:rsid w:val="000C37E1"/>
    <w:rsid w:val="000C685C"/>
    <w:rsid w:val="000D0464"/>
    <w:rsid w:val="000D161A"/>
    <w:rsid w:val="000D371D"/>
    <w:rsid w:val="000E40C6"/>
    <w:rsid w:val="000F3FC8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1177E"/>
    <w:rsid w:val="00215E57"/>
    <w:rsid w:val="00217E3D"/>
    <w:rsid w:val="00221784"/>
    <w:rsid w:val="002217C5"/>
    <w:rsid w:val="0022310E"/>
    <w:rsid w:val="002353AF"/>
    <w:rsid w:val="002408DD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14AB3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770B"/>
    <w:rsid w:val="005A1DA4"/>
    <w:rsid w:val="005A4AAB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3949"/>
    <w:rsid w:val="00623C48"/>
    <w:rsid w:val="006345E6"/>
    <w:rsid w:val="00646999"/>
    <w:rsid w:val="006500BF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1286"/>
    <w:rsid w:val="00744E38"/>
    <w:rsid w:val="0075158F"/>
    <w:rsid w:val="00755E2D"/>
    <w:rsid w:val="00756829"/>
    <w:rsid w:val="00761759"/>
    <w:rsid w:val="00771769"/>
    <w:rsid w:val="007750BA"/>
    <w:rsid w:val="007766F0"/>
    <w:rsid w:val="0078067A"/>
    <w:rsid w:val="00782324"/>
    <w:rsid w:val="00794D79"/>
    <w:rsid w:val="007A1223"/>
    <w:rsid w:val="007A3C40"/>
    <w:rsid w:val="007A7A28"/>
    <w:rsid w:val="007C5AE3"/>
    <w:rsid w:val="007D3296"/>
    <w:rsid w:val="007D56B0"/>
    <w:rsid w:val="007F3D13"/>
    <w:rsid w:val="007F411B"/>
    <w:rsid w:val="007F5989"/>
    <w:rsid w:val="00801B2C"/>
    <w:rsid w:val="0080479E"/>
    <w:rsid w:val="00804EA9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7F99"/>
    <w:rsid w:val="008C5E06"/>
    <w:rsid w:val="008E002B"/>
    <w:rsid w:val="008E1FE8"/>
    <w:rsid w:val="008E2986"/>
    <w:rsid w:val="008E2A4E"/>
    <w:rsid w:val="008E2AD6"/>
    <w:rsid w:val="008E601C"/>
    <w:rsid w:val="008F23D7"/>
    <w:rsid w:val="00900FA2"/>
    <w:rsid w:val="00901F53"/>
    <w:rsid w:val="009051B7"/>
    <w:rsid w:val="00920467"/>
    <w:rsid w:val="00921D87"/>
    <w:rsid w:val="00925C00"/>
    <w:rsid w:val="00935697"/>
    <w:rsid w:val="009428D4"/>
    <w:rsid w:val="0094460C"/>
    <w:rsid w:val="00952049"/>
    <w:rsid w:val="00957FB9"/>
    <w:rsid w:val="009646C4"/>
    <w:rsid w:val="009659B4"/>
    <w:rsid w:val="00974CCB"/>
    <w:rsid w:val="00975223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0F5B"/>
    <w:rsid w:val="00A41803"/>
    <w:rsid w:val="00A46D96"/>
    <w:rsid w:val="00A54A56"/>
    <w:rsid w:val="00A563C2"/>
    <w:rsid w:val="00A57082"/>
    <w:rsid w:val="00A57CB5"/>
    <w:rsid w:val="00A65777"/>
    <w:rsid w:val="00A67239"/>
    <w:rsid w:val="00A7539E"/>
    <w:rsid w:val="00AA3DD1"/>
    <w:rsid w:val="00AA67AA"/>
    <w:rsid w:val="00AB091E"/>
    <w:rsid w:val="00AB202E"/>
    <w:rsid w:val="00AB4D28"/>
    <w:rsid w:val="00AC10F1"/>
    <w:rsid w:val="00AC26CD"/>
    <w:rsid w:val="00AC5180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720D9"/>
    <w:rsid w:val="00B73172"/>
    <w:rsid w:val="00B739D0"/>
    <w:rsid w:val="00B73A77"/>
    <w:rsid w:val="00B7436E"/>
    <w:rsid w:val="00B807B2"/>
    <w:rsid w:val="00B84D4D"/>
    <w:rsid w:val="00B85C58"/>
    <w:rsid w:val="00B87337"/>
    <w:rsid w:val="00B9352A"/>
    <w:rsid w:val="00BA422F"/>
    <w:rsid w:val="00BC4773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6FED"/>
    <w:rsid w:val="00CA2A09"/>
    <w:rsid w:val="00CA39A3"/>
    <w:rsid w:val="00CA66C0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5945"/>
    <w:rsid w:val="00DC63A0"/>
    <w:rsid w:val="00DC7CA4"/>
    <w:rsid w:val="00DD2852"/>
    <w:rsid w:val="00DE6157"/>
    <w:rsid w:val="00DE659B"/>
    <w:rsid w:val="00DE7F9C"/>
    <w:rsid w:val="00E00291"/>
    <w:rsid w:val="00E12AFD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70BE2"/>
    <w:rsid w:val="00F81540"/>
    <w:rsid w:val="00F9296E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12058</Words>
  <Characters>68737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3</cp:revision>
  <cp:lastPrinted>2020-11-18T08:41:00Z</cp:lastPrinted>
  <dcterms:created xsi:type="dcterms:W3CDTF">2020-12-16T12:22:00Z</dcterms:created>
  <dcterms:modified xsi:type="dcterms:W3CDTF">2020-12-28T07:18:00Z</dcterms:modified>
</cp:coreProperties>
</file>