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8" w:rsidRDefault="00D1341C" w:rsidP="00F74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9BE">
        <w:rPr>
          <w:rFonts w:ascii="Times New Roman" w:hAnsi="Times New Roman" w:cs="Times New Roman"/>
          <w:b/>
          <w:sz w:val="28"/>
          <w:szCs w:val="28"/>
        </w:rPr>
        <w:t>Справочная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BE">
        <w:rPr>
          <w:rFonts w:ascii="Times New Roman" w:hAnsi="Times New Roman" w:cs="Times New Roman"/>
          <w:b/>
          <w:sz w:val="28"/>
          <w:szCs w:val="28"/>
        </w:rPr>
        <w:t>информация о ставках и льготах по имущественным налогам.</w:t>
      </w:r>
    </w:p>
    <w:p w:rsidR="00D1341C" w:rsidRDefault="00D1341C">
      <w:pPr>
        <w:rPr>
          <w:rFonts w:ascii="Times New Roman" w:hAnsi="Times New Roman" w:cs="Times New Roman"/>
          <w:sz w:val="28"/>
          <w:szCs w:val="28"/>
        </w:rPr>
      </w:pPr>
      <w:r w:rsidRPr="00F749BE">
        <w:rPr>
          <w:rFonts w:ascii="Times New Roman" w:hAnsi="Times New Roman" w:cs="Times New Roman"/>
          <w:b/>
          <w:sz w:val="28"/>
          <w:szCs w:val="28"/>
        </w:rPr>
        <w:t>Вид налога</w:t>
      </w:r>
      <w:r>
        <w:rPr>
          <w:rFonts w:ascii="Times New Roman" w:hAnsi="Times New Roman" w:cs="Times New Roman"/>
          <w:sz w:val="28"/>
          <w:szCs w:val="28"/>
        </w:rPr>
        <w:t>: Налог на имущество ФЛ</w:t>
      </w:r>
    </w:p>
    <w:p w:rsidR="00D1341C" w:rsidRDefault="00D1341C">
      <w:pPr>
        <w:rPr>
          <w:rFonts w:ascii="Times New Roman" w:hAnsi="Times New Roman" w:cs="Times New Roman"/>
          <w:sz w:val="28"/>
          <w:szCs w:val="28"/>
        </w:rPr>
      </w:pPr>
      <w:r w:rsidRPr="00F749BE">
        <w:rPr>
          <w:rFonts w:ascii="Times New Roman" w:hAnsi="Times New Roman" w:cs="Times New Roman"/>
          <w:b/>
          <w:sz w:val="28"/>
          <w:szCs w:val="28"/>
        </w:rPr>
        <w:t>Налоговый период</w:t>
      </w:r>
      <w:r>
        <w:rPr>
          <w:rFonts w:ascii="Times New Roman" w:hAnsi="Times New Roman" w:cs="Times New Roman"/>
          <w:sz w:val="28"/>
          <w:szCs w:val="28"/>
        </w:rPr>
        <w:t>: 202</w:t>
      </w:r>
      <w:r w:rsidR="008460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341C" w:rsidRDefault="00D1341C">
      <w:pPr>
        <w:rPr>
          <w:rFonts w:ascii="Times New Roman" w:hAnsi="Times New Roman" w:cs="Times New Roman"/>
          <w:sz w:val="28"/>
          <w:szCs w:val="28"/>
        </w:rPr>
      </w:pPr>
      <w:r w:rsidRPr="00B23CB8">
        <w:rPr>
          <w:rFonts w:ascii="Times New Roman" w:hAnsi="Times New Roman" w:cs="Times New Roman"/>
          <w:b/>
          <w:sz w:val="28"/>
          <w:szCs w:val="28"/>
        </w:rPr>
        <w:t>Субъект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23- Краснодарский край</w:t>
      </w:r>
    </w:p>
    <w:p w:rsidR="00D1341C" w:rsidRPr="00B23CB8" w:rsidRDefault="00D1341C">
      <w:pPr>
        <w:rPr>
          <w:rFonts w:ascii="Times New Roman" w:hAnsi="Times New Roman" w:cs="Times New Roman"/>
          <w:sz w:val="28"/>
          <w:szCs w:val="28"/>
        </w:rPr>
      </w:pPr>
      <w:r w:rsidRPr="00B23CB8">
        <w:rPr>
          <w:rFonts w:ascii="Times New Roman" w:hAnsi="Times New Roman" w:cs="Times New Roman"/>
          <w:b/>
          <w:sz w:val="28"/>
          <w:szCs w:val="28"/>
        </w:rPr>
        <w:t>Муниципальное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B8">
        <w:rPr>
          <w:rFonts w:ascii="Times New Roman" w:hAnsi="Times New Roman" w:cs="Times New Roman"/>
          <w:sz w:val="28"/>
          <w:szCs w:val="28"/>
        </w:rPr>
        <w:t xml:space="preserve">Родниковское сельское поселение </w:t>
      </w:r>
      <w:proofErr w:type="spellStart"/>
      <w:r w:rsidRPr="00B23CB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23CB8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</w:p>
    <w:p w:rsidR="00D1341C" w:rsidRPr="00F749BE" w:rsidRDefault="00D134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49BE">
        <w:rPr>
          <w:rFonts w:ascii="Times New Roman" w:hAnsi="Times New Roman" w:cs="Times New Roman"/>
          <w:b/>
          <w:sz w:val="28"/>
          <w:szCs w:val="28"/>
        </w:rPr>
        <w:t>Срок уплаты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49BE">
        <w:rPr>
          <w:rFonts w:ascii="Times New Roman" w:hAnsi="Times New Roman" w:cs="Times New Roman"/>
          <w:sz w:val="28"/>
          <w:szCs w:val="28"/>
          <w:u w:val="single"/>
        </w:rPr>
        <w:t>Срок оплаты налога на имущество физических лиц установлен не позднее 1 декабря года, следующего за истекшим налоговым периодом (не позднее 01.12.202</w:t>
      </w:r>
      <w:r w:rsidR="00335FC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749BE">
        <w:rPr>
          <w:rFonts w:ascii="Times New Roman" w:hAnsi="Times New Roman" w:cs="Times New Roman"/>
          <w:sz w:val="28"/>
          <w:szCs w:val="28"/>
          <w:u w:val="single"/>
        </w:rPr>
        <w:t xml:space="preserve"> года).</w:t>
      </w:r>
    </w:p>
    <w:p w:rsidR="00B30DF8" w:rsidRPr="00F749BE" w:rsidRDefault="00B30DF8" w:rsidP="002C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BE">
        <w:rPr>
          <w:rFonts w:ascii="Times New Roman" w:hAnsi="Times New Roman" w:cs="Times New Roman"/>
          <w:b/>
          <w:sz w:val="28"/>
          <w:szCs w:val="28"/>
        </w:rPr>
        <w:t>Реквизиты закона субъекта Российской Федерации</w:t>
      </w:r>
    </w:p>
    <w:tbl>
      <w:tblPr>
        <w:tblStyle w:val="a3"/>
        <w:tblW w:w="0" w:type="auto"/>
        <w:tblLook w:val="04A0"/>
      </w:tblPr>
      <w:tblGrid>
        <w:gridCol w:w="5495"/>
        <w:gridCol w:w="2126"/>
        <w:gridCol w:w="1950"/>
      </w:tblGrid>
      <w:tr w:rsidR="00B30DF8" w:rsidTr="0093505F">
        <w:tc>
          <w:tcPr>
            <w:tcW w:w="5495" w:type="dxa"/>
          </w:tcPr>
          <w:p w:rsidR="00B30DF8" w:rsidRDefault="00B30DF8" w:rsidP="00B3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B30DF8" w:rsidRDefault="00B30DF8" w:rsidP="00B3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50" w:type="dxa"/>
          </w:tcPr>
          <w:p w:rsidR="00B30DF8" w:rsidRDefault="00B30DF8" w:rsidP="00B3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30DF8" w:rsidTr="0093505F">
        <w:tc>
          <w:tcPr>
            <w:tcW w:w="5495" w:type="dxa"/>
          </w:tcPr>
          <w:p w:rsidR="00B30DF8" w:rsidRDefault="00B30DF8" w:rsidP="002C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</w:t>
            </w:r>
            <w:r w:rsidR="002C7D1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ровой стоимости объектов налогообложения» (принят ЗС КК 23.03.2016)</w:t>
            </w:r>
          </w:p>
        </w:tc>
        <w:tc>
          <w:tcPr>
            <w:tcW w:w="2126" w:type="dxa"/>
          </w:tcPr>
          <w:p w:rsidR="00B30DF8" w:rsidRDefault="00B30DF8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3368-КЗ</w:t>
            </w:r>
          </w:p>
        </w:tc>
        <w:tc>
          <w:tcPr>
            <w:tcW w:w="1950" w:type="dxa"/>
          </w:tcPr>
          <w:p w:rsidR="00B30DF8" w:rsidRDefault="00B30DF8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04.04.2016</w:t>
            </w:r>
          </w:p>
        </w:tc>
      </w:tr>
    </w:tbl>
    <w:p w:rsidR="00B30DF8" w:rsidRDefault="00B30DF8">
      <w:pPr>
        <w:rPr>
          <w:rFonts w:ascii="Times New Roman" w:hAnsi="Times New Roman" w:cs="Times New Roman"/>
          <w:sz w:val="28"/>
          <w:szCs w:val="28"/>
        </w:rPr>
      </w:pPr>
    </w:p>
    <w:p w:rsidR="002C7D1A" w:rsidRPr="00F749BE" w:rsidRDefault="002C7D1A" w:rsidP="002C7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BE">
        <w:rPr>
          <w:rFonts w:ascii="Times New Roman" w:hAnsi="Times New Roman" w:cs="Times New Roman"/>
          <w:b/>
          <w:sz w:val="28"/>
          <w:szCs w:val="28"/>
        </w:rPr>
        <w:t>Реквизиты акта органов местного самоуправления</w:t>
      </w:r>
    </w:p>
    <w:tbl>
      <w:tblPr>
        <w:tblStyle w:val="a3"/>
        <w:tblW w:w="0" w:type="auto"/>
        <w:tblLook w:val="04A0"/>
      </w:tblPr>
      <w:tblGrid>
        <w:gridCol w:w="5495"/>
        <w:gridCol w:w="2126"/>
        <w:gridCol w:w="1950"/>
      </w:tblGrid>
      <w:tr w:rsidR="002C7D1A" w:rsidTr="00790E54">
        <w:tc>
          <w:tcPr>
            <w:tcW w:w="5495" w:type="dxa"/>
          </w:tcPr>
          <w:p w:rsidR="002C7D1A" w:rsidRDefault="00A90B25" w:rsidP="00A9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2C7D1A" w:rsidRDefault="00A90B25" w:rsidP="00A9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50" w:type="dxa"/>
          </w:tcPr>
          <w:p w:rsidR="002C7D1A" w:rsidRDefault="00A90B25" w:rsidP="00A90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C7D1A" w:rsidTr="00790E54">
        <w:tc>
          <w:tcPr>
            <w:tcW w:w="5495" w:type="dxa"/>
          </w:tcPr>
          <w:p w:rsidR="002C7D1A" w:rsidRDefault="00B06912" w:rsidP="008B4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Родниковского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«Об установлении налога на имущество физических лиц на территории Родниковского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(в редакции Решения от 29 ноября 2018 г. № 36, от 28 ноября 2019 г. № 12, от 17.06.2021 г. № 101</w:t>
            </w:r>
            <w:proofErr w:type="gramEnd"/>
          </w:p>
        </w:tc>
        <w:tc>
          <w:tcPr>
            <w:tcW w:w="2126" w:type="dxa"/>
          </w:tcPr>
          <w:p w:rsidR="002C7D1A" w:rsidRDefault="00B06912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0" w:type="dxa"/>
          </w:tcPr>
          <w:p w:rsidR="002C7D1A" w:rsidRDefault="00B06912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</w:tr>
    </w:tbl>
    <w:p w:rsidR="002C7D1A" w:rsidRDefault="002C7D1A">
      <w:pPr>
        <w:rPr>
          <w:rFonts w:ascii="Times New Roman" w:hAnsi="Times New Roman" w:cs="Times New Roman"/>
          <w:sz w:val="28"/>
          <w:szCs w:val="28"/>
        </w:rPr>
      </w:pPr>
    </w:p>
    <w:p w:rsidR="00F749BE" w:rsidRDefault="00F749BE">
      <w:pPr>
        <w:rPr>
          <w:rFonts w:ascii="Times New Roman" w:hAnsi="Times New Roman" w:cs="Times New Roman"/>
          <w:sz w:val="28"/>
          <w:szCs w:val="28"/>
        </w:rPr>
      </w:pPr>
    </w:p>
    <w:p w:rsidR="00F749BE" w:rsidRDefault="00F749BE">
      <w:pPr>
        <w:rPr>
          <w:rFonts w:ascii="Times New Roman" w:hAnsi="Times New Roman" w:cs="Times New Roman"/>
          <w:sz w:val="28"/>
          <w:szCs w:val="28"/>
        </w:rPr>
      </w:pPr>
    </w:p>
    <w:p w:rsidR="00F749BE" w:rsidRDefault="00F749BE">
      <w:pPr>
        <w:rPr>
          <w:rFonts w:ascii="Times New Roman" w:hAnsi="Times New Roman" w:cs="Times New Roman"/>
          <w:sz w:val="28"/>
          <w:szCs w:val="28"/>
        </w:rPr>
      </w:pPr>
    </w:p>
    <w:p w:rsidR="00F749BE" w:rsidRPr="00F749BE" w:rsidRDefault="00F749BE" w:rsidP="00F74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BE">
        <w:rPr>
          <w:rFonts w:ascii="Times New Roman" w:hAnsi="Times New Roman" w:cs="Times New Roman"/>
          <w:b/>
          <w:sz w:val="28"/>
          <w:szCs w:val="28"/>
        </w:rPr>
        <w:lastRenderedPageBreak/>
        <w:t>Ставки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F749BE" w:rsidRPr="00F749BE" w:rsidTr="0093505F">
        <w:tc>
          <w:tcPr>
            <w:tcW w:w="7621" w:type="dxa"/>
          </w:tcPr>
          <w:p w:rsidR="00F749BE" w:rsidRPr="00F749BE" w:rsidRDefault="00F74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объекта и/или кадастровая стоимость и/или </w:t>
            </w:r>
            <w:proofErr w:type="gramStart"/>
            <w:r w:rsidRPr="00F749BE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нахождение</w:t>
            </w:r>
            <w:proofErr w:type="gramEnd"/>
            <w:r w:rsidRPr="00F7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 и/или вид территориальных зон</w:t>
            </w:r>
          </w:p>
        </w:tc>
        <w:tc>
          <w:tcPr>
            <w:tcW w:w="1950" w:type="dxa"/>
          </w:tcPr>
          <w:p w:rsidR="00F749BE" w:rsidRPr="00F749BE" w:rsidRDefault="00F74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B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%</w:t>
            </w:r>
          </w:p>
        </w:tc>
      </w:tr>
      <w:tr w:rsidR="00F749BE" w:rsidTr="0093505F">
        <w:tc>
          <w:tcPr>
            <w:tcW w:w="7621" w:type="dxa"/>
          </w:tcPr>
          <w:p w:rsidR="00F749BE" w:rsidRPr="0093505F" w:rsidRDefault="00F749BE" w:rsidP="00935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05F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домов;</w:t>
            </w:r>
            <w:r w:rsidR="0093505F" w:rsidRPr="0093505F">
              <w:rPr>
                <w:rFonts w:ascii="Times New Roman" w:hAnsi="Times New Roman" w:cs="Times New Roman"/>
                <w:color w:val="405965"/>
                <w:sz w:val="28"/>
                <w:szCs w:val="28"/>
                <w:shd w:val="clear" w:color="auto" w:fill="FFFFFF"/>
              </w:rPr>
              <w:t xml:space="preserve"> </w:t>
            </w:r>
            <w:r w:rsidR="0093505F" w:rsidRPr="00935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квартиры, части квартир, комнаты;- объекты незавершенного строительства в случае, если проектируемым назначением таких объектов является жилой дом;- единые недвижимые комплексы, в состав которых </w:t>
            </w:r>
            <w:proofErr w:type="gramStart"/>
            <w:r w:rsidR="0093505F" w:rsidRPr="00935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входит</w:t>
            </w:r>
            <w:proofErr w:type="gramEnd"/>
            <w:r w:rsidR="0093505F" w:rsidRPr="00935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хотя бы один жилой дом;- Гаражи и </w:t>
            </w:r>
            <w:proofErr w:type="spellStart"/>
            <w:r w:rsidR="0093505F" w:rsidRPr="00935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машино-места</w:t>
            </w:r>
            <w:proofErr w:type="spellEnd"/>
            <w:r w:rsidR="0093505F" w:rsidRPr="00935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том числе расположенные в объектах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2 п. 10 ст. 378.2 НК РФ;- хозяйственные строения или сооружения, площадь каждого из которых не превышает 50 кв. м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proofErr w:type="gramStart"/>
            <w:r w:rsidR="0093505F" w:rsidRPr="00935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."</w:t>
            </w:r>
            <w:proofErr w:type="gramEnd"/>
          </w:p>
        </w:tc>
        <w:tc>
          <w:tcPr>
            <w:tcW w:w="1950" w:type="dxa"/>
          </w:tcPr>
          <w:p w:rsidR="00F749BE" w:rsidRDefault="00790E54" w:rsidP="0079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49BE" w:rsidRPr="00790E54" w:rsidTr="0093505F">
        <w:tc>
          <w:tcPr>
            <w:tcW w:w="7621" w:type="dxa"/>
          </w:tcPr>
          <w:p w:rsidR="00F749BE" w:rsidRPr="00790E54" w:rsidRDefault="00790E54" w:rsidP="001953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объекты налогообложения, включенные в перечень, определяемый в соответствии с п. 7 ст. 378.2 НК РФ, в отношении объектов налогообложения, предусмотренных </w:t>
            </w:r>
            <w:proofErr w:type="spellStart"/>
            <w:r w:rsidRPr="00790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абз</w:t>
            </w:r>
            <w:proofErr w:type="spellEnd"/>
            <w:r w:rsidRPr="00790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. 2 п. 10 ст. 378.2 НК РФ; объекты налогообложения, кадастровая стоимость каждого из которых превышает 300 </w:t>
            </w:r>
            <w:proofErr w:type="spellStart"/>
            <w:proofErr w:type="gramStart"/>
            <w:r w:rsidRPr="00790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млн</w:t>
            </w:r>
            <w:proofErr w:type="spellEnd"/>
            <w:proofErr w:type="gramEnd"/>
            <w:r w:rsidRPr="00790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руб.</w:t>
            </w:r>
          </w:p>
        </w:tc>
        <w:tc>
          <w:tcPr>
            <w:tcW w:w="1950" w:type="dxa"/>
          </w:tcPr>
          <w:p w:rsidR="00F749BE" w:rsidRPr="00790E54" w:rsidRDefault="00790E54" w:rsidP="00195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</w:t>
            </w:r>
          </w:p>
        </w:tc>
      </w:tr>
      <w:tr w:rsidR="00F749BE" w:rsidRPr="00790E54" w:rsidTr="0093505F">
        <w:tc>
          <w:tcPr>
            <w:tcW w:w="7621" w:type="dxa"/>
          </w:tcPr>
          <w:p w:rsidR="00F749BE" w:rsidRPr="00790E54" w:rsidRDefault="00790E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отношении прочих объектов налогообложения.</w:t>
            </w:r>
          </w:p>
        </w:tc>
        <w:tc>
          <w:tcPr>
            <w:tcW w:w="1950" w:type="dxa"/>
          </w:tcPr>
          <w:p w:rsidR="00F749BE" w:rsidRPr="00790E54" w:rsidRDefault="00790E54" w:rsidP="00790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</w:tbl>
    <w:p w:rsidR="00F749BE" w:rsidRDefault="00F749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31F" w:rsidRDefault="00195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F47" w:rsidRDefault="00967F47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967F47" w:rsidSect="00691B0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71BC" w:rsidRPr="00967F47" w:rsidRDefault="00967F47" w:rsidP="00967F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F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Федеральные льготы</w:t>
      </w:r>
    </w:p>
    <w:tbl>
      <w:tblPr>
        <w:tblStyle w:val="a3"/>
        <w:tblW w:w="15022" w:type="dxa"/>
        <w:tblLook w:val="04A0"/>
      </w:tblPr>
      <w:tblGrid>
        <w:gridCol w:w="3652"/>
        <w:gridCol w:w="2693"/>
        <w:gridCol w:w="2410"/>
        <w:gridCol w:w="1087"/>
        <w:gridCol w:w="898"/>
        <w:gridCol w:w="4282"/>
      </w:tblGrid>
      <w:tr w:rsidR="0011504D" w:rsidTr="00B23CB8">
        <w:tc>
          <w:tcPr>
            <w:tcW w:w="3652" w:type="dxa"/>
          </w:tcPr>
          <w:p w:rsidR="00967F47" w:rsidRDefault="00967F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налогоплательщиков, для которых установлена льгота</w:t>
            </w:r>
          </w:p>
        </w:tc>
        <w:tc>
          <w:tcPr>
            <w:tcW w:w="2693" w:type="dxa"/>
          </w:tcPr>
          <w:p w:rsidR="00967F47" w:rsidRDefault="00967F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Статья (пункт) соответствующего нормативного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проавового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акта</w:t>
            </w:r>
          </w:p>
        </w:tc>
        <w:tc>
          <w:tcPr>
            <w:tcW w:w="2410" w:type="dxa"/>
          </w:tcPr>
          <w:p w:rsidR="00967F47" w:rsidRDefault="00967F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предоставления льготы</w:t>
            </w:r>
          </w:p>
        </w:tc>
        <w:tc>
          <w:tcPr>
            <w:tcW w:w="1087" w:type="dxa"/>
          </w:tcPr>
          <w:p w:rsidR="00967F47" w:rsidRDefault="00967F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898" w:type="dxa"/>
          </w:tcPr>
          <w:p w:rsidR="00967F47" w:rsidRDefault="00967F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2" w:type="dxa"/>
          </w:tcPr>
          <w:p w:rsidR="00967F47" w:rsidRDefault="00967F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предоставления льготы</w:t>
            </w:r>
          </w:p>
        </w:tc>
      </w:tr>
      <w:tr w:rsidR="0011504D" w:rsidTr="00B23CB8">
        <w:tc>
          <w:tcPr>
            <w:tcW w:w="3652" w:type="dxa"/>
          </w:tcPr>
          <w:p w:rsidR="00967F47" w:rsidRPr="000058DC" w:rsidRDefault="0011504D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Герои Советского Союза и Герои Российской Федерации, а также лица, награжденные орденом Славы трех степеней</w:t>
            </w:r>
          </w:p>
        </w:tc>
        <w:tc>
          <w:tcPr>
            <w:tcW w:w="2693" w:type="dxa"/>
          </w:tcPr>
          <w:p w:rsidR="00967F47" w:rsidRPr="000058DC" w:rsidRDefault="0011504D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Подпункт 1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11504D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11504D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11504D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11504D" w:rsidP="00B23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11504D" w:rsidTr="00B23CB8">
        <w:tc>
          <w:tcPr>
            <w:tcW w:w="3652" w:type="dxa"/>
          </w:tcPr>
          <w:p w:rsidR="00967F47" w:rsidRPr="000058DC" w:rsidRDefault="0011504D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Инвалиды I и II групп инвалидности</w:t>
            </w:r>
          </w:p>
        </w:tc>
        <w:tc>
          <w:tcPr>
            <w:tcW w:w="2693" w:type="dxa"/>
          </w:tcPr>
          <w:p w:rsidR="00967F47" w:rsidRPr="000058DC" w:rsidRDefault="0011504D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Подпункт 2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11504D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11504D" w:rsidP="00B23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деятельности</w:t>
            </w:r>
          </w:p>
        </w:tc>
      </w:tr>
      <w:tr w:rsidR="0011504D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Инвалиды с детства, дети-инвалиды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Подпункт 3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B23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11504D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Подпункт 4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B23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11504D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Лица вольнонаемного состава Советской Армии, Военно-Морского Флота,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действующей армии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Подпункт 5 пункта 1 статьи 407 Налогового кодекса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B23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отношении одного объекта налогообложения каждого вида (за исключением объектов,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11504D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 xml:space="preserve">Лица, имеющие право на получение социальной поддержки в соответствии с Законом Российской Федерации от 15 мая 1991 года № 1244-1 "О социальной защите граждан, подвергшихся воздействию радиации вследствие катастрофы на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Чернобыльской АЭС",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      </w:r>
            <w:proofErr w:type="gramEnd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" и сбросов радиоактивных отходов в реку </w:t>
            </w:r>
            <w:proofErr w:type="spellStart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Теча</w:t>
            </w:r>
            <w:proofErr w:type="spellEnd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" и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Подпункт 6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B23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предпринимательской деятельности</w:t>
            </w:r>
          </w:p>
        </w:tc>
      </w:tr>
      <w:tr w:rsidR="0011504D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Военнослужащие, а также граждане, уволенные с военной службы по достижении предельного возраста пребывания на военной службе, состоянию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Подпункт 7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B23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967F47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Подпункт 8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142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967F47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семей военнослужащих, потерявших кормильца, признаваемые таковыми в соответствии с Федеральным законом от 27 мая 1998 года № 76-ФЗ "О статусе военнослужащих"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Подпункт 9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142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предпринимательской деятельности</w:t>
            </w:r>
          </w:p>
        </w:tc>
      </w:tr>
      <w:tr w:rsidR="00967F47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Подпункт 10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142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967F47" w:rsidTr="00B23CB8">
        <w:tc>
          <w:tcPr>
            <w:tcW w:w="3652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2693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Подпункт 10.1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967F47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1087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967F47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967F47" w:rsidRPr="000058DC" w:rsidRDefault="00FB02B0" w:rsidP="00142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FB02B0" w:rsidTr="00B23CB8">
        <w:tc>
          <w:tcPr>
            <w:tcW w:w="3652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Граждане, уволенные с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военной службы или призывавшиеся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2693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 xml:space="preserve">Подпункт 11 пункта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1 статьи 407 Налогового кодекса Российской Федерации</w:t>
            </w:r>
          </w:p>
        </w:tc>
        <w:tc>
          <w:tcPr>
            <w:tcW w:w="2410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 xml:space="preserve">Заявление о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предоставлении налоговой льготы</w:t>
            </w:r>
          </w:p>
        </w:tc>
        <w:tc>
          <w:tcPr>
            <w:tcW w:w="1087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98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FB02B0" w:rsidRPr="000058DC" w:rsidRDefault="00FB02B0" w:rsidP="00142F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 отношении одного объекта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FB02B0" w:rsidTr="00B23CB8">
        <w:tc>
          <w:tcPr>
            <w:tcW w:w="3652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693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Подпункт 12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1087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FB02B0" w:rsidRPr="000058DC" w:rsidRDefault="00FB02B0" w:rsidP="00142F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FB02B0" w:rsidTr="00B23CB8">
        <w:tc>
          <w:tcPr>
            <w:tcW w:w="3652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Родители и супруги военнослужащих и государственных служащих, погибших при исполнении служебных обязанностей</w:t>
            </w:r>
          </w:p>
        </w:tc>
        <w:tc>
          <w:tcPr>
            <w:tcW w:w="2693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Подпункт 13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FB02B0" w:rsidRPr="000058DC" w:rsidRDefault="00FB02B0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FB02B0" w:rsidRPr="000058DC" w:rsidRDefault="00FB02B0" w:rsidP="00142F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 отношении одного объекта налогообложения каждого вида (за исключением объектов, указанных в подпункте 2 пункта 2 статьи 406 Налогового кодекса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Российской Федерации),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FB02B0" w:rsidTr="00B23CB8">
        <w:tc>
          <w:tcPr>
            <w:tcW w:w="3652" w:type="dxa"/>
          </w:tcPr>
          <w:p w:rsidR="00FB02B0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Физические лица, осуществляющие профессиональную творческую деятельность</w:t>
            </w:r>
          </w:p>
        </w:tc>
        <w:tc>
          <w:tcPr>
            <w:tcW w:w="2693" w:type="dxa"/>
          </w:tcPr>
          <w:p w:rsidR="00FB02B0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Подпункт 14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FB02B0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FB02B0" w:rsidRPr="000058DC" w:rsidRDefault="0053309B" w:rsidP="00142F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использования. 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Федерации), принадлежащего налогоплательщику на праве собственности и не используемого в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предпринимательской деятельности</w:t>
            </w:r>
          </w:p>
        </w:tc>
      </w:tr>
      <w:tr w:rsidR="00FB02B0" w:rsidTr="00B23CB8">
        <w:tc>
          <w:tcPr>
            <w:tcW w:w="3652" w:type="dxa"/>
          </w:tcPr>
          <w:p w:rsidR="00FB02B0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Физические лица - владельцы хозяйственных строений площадью не более 50 квадратных метров</w:t>
            </w:r>
          </w:p>
        </w:tc>
        <w:tc>
          <w:tcPr>
            <w:tcW w:w="2693" w:type="dxa"/>
          </w:tcPr>
          <w:p w:rsidR="00FB02B0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Подпункт 15 пункта 1 статьи 407 Налогового кодекса Российской Федерации</w:t>
            </w:r>
          </w:p>
        </w:tc>
        <w:tc>
          <w:tcPr>
            <w:tcW w:w="2410" w:type="dxa"/>
          </w:tcPr>
          <w:p w:rsidR="00FB02B0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1087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FB02B0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FB02B0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</w:t>
            </w:r>
            <w:proofErr w:type="gramStart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)</w:t>
            </w:r>
            <w:proofErr w:type="gramEnd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, принадлежащего налогоплательщику на праве собственности и не </w:t>
            </w:r>
            <w:proofErr w:type="gramStart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используемого</w:t>
            </w:r>
            <w:proofErr w:type="gramEnd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 предпринимательской деятельности</w:t>
            </w:r>
          </w:p>
        </w:tc>
      </w:tr>
      <w:tr w:rsidR="0053309B" w:rsidTr="00B23CB8">
        <w:tc>
          <w:tcPr>
            <w:tcW w:w="3652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предприниматели, уплачивающие единый сельскохозяйственный налог</w:t>
            </w:r>
          </w:p>
        </w:tc>
        <w:tc>
          <w:tcPr>
            <w:tcW w:w="2693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Абзац 3 пункта 3 статьи 346.1 Налогового кодекса Российской Федерации</w:t>
            </w:r>
          </w:p>
        </w:tc>
        <w:tc>
          <w:tcPr>
            <w:tcW w:w="2410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53309B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53309B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отношении имущества, используемого для осуществления предпринимательской деятельности (в части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имущества, используемого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товаропроизводителями)</w:t>
            </w:r>
          </w:p>
        </w:tc>
      </w:tr>
      <w:tr w:rsidR="0053309B" w:rsidTr="00B23CB8">
        <w:tc>
          <w:tcPr>
            <w:tcW w:w="3652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Индивидуальные предприниматели, применяющие упрощенную систему налогообложения</w:t>
            </w:r>
          </w:p>
        </w:tc>
        <w:tc>
          <w:tcPr>
            <w:tcW w:w="2693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Пункт 3 статьи 346.11 Налогового кодекса Российской Федерации</w:t>
            </w:r>
          </w:p>
        </w:tc>
        <w:tc>
          <w:tcPr>
            <w:tcW w:w="2410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53309B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53309B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Российской Федерации с учетом особенностей, предусмотренных абзацем вторым пункта 10 статьи 378.2 Налогового кодекса Российской Федерации</w:t>
            </w:r>
          </w:p>
        </w:tc>
      </w:tr>
      <w:tr w:rsidR="0053309B" w:rsidTr="00B23CB8">
        <w:tc>
          <w:tcPr>
            <w:tcW w:w="3652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предприниматели, применяющие патентную систему налогообложения</w:t>
            </w:r>
          </w:p>
        </w:tc>
        <w:tc>
          <w:tcPr>
            <w:tcW w:w="2693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Подпункт 2 пункта 10 статьи 346.43 Налогового кодекса Российской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Федерации</w:t>
            </w:r>
          </w:p>
        </w:tc>
        <w:tc>
          <w:tcPr>
            <w:tcW w:w="2410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Заявление о предоставлении налоговой льготы</w:t>
            </w:r>
          </w:p>
        </w:tc>
        <w:tc>
          <w:tcPr>
            <w:tcW w:w="1087" w:type="dxa"/>
          </w:tcPr>
          <w:p w:rsidR="0053309B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53309B" w:rsidRPr="000058DC" w:rsidRDefault="000058DC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82" w:type="dxa"/>
          </w:tcPr>
          <w:p w:rsidR="0053309B" w:rsidRPr="000058DC" w:rsidRDefault="0053309B" w:rsidP="000058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proofErr w:type="gramStart"/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части имущества, используемого при осуществлении видов предпринимательской </w:t>
            </w:r>
            <w:r w:rsidRPr="000058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Российской Федерации с учетом особенностей, предусмотренных абзацем вторым пункта 10 статьи 378.2 Налогового кодекса Российской Федерации</w:t>
            </w:r>
            <w:proofErr w:type="gramEnd"/>
          </w:p>
        </w:tc>
      </w:tr>
    </w:tbl>
    <w:p w:rsidR="00967F47" w:rsidRPr="00790E54" w:rsidRDefault="00967F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7F47" w:rsidRPr="00790E54" w:rsidSect="00967F47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5B33"/>
    <w:multiLevelType w:val="hybridMultilevel"/>
    <w:tmpl w:val="D63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41C"/>
    <w:rsid w:val="000058DC"/>
    <w:rsid w:val="0011504D"/>
    <w:rsid w:val="00142FFF"/>
    <w:rsid w:val="0019531F"/>
    <w:rsid w:val="001E36D1"/>
    <w:rsid w:val="002C7D1A"/>
    <w:rsid w:val="00335FCB"/>
    <w:rsid w:val="003520A3"/>
    <w:rsid w:val="00360DCF"/>
    <w:rsid w:val="0049209C"/>
    <w:rsid w:val="0053309B"/>
    <w:rsid w:val="005733F5"/>
    <w:rsid w:val="00691B0F"/>
    <w:rsid w:val="00790E54"/>
    <w:rsid w:val="007F71BC"/>
    <w:rsid w:val="0084603B"/>
    <w:rsid w:val="00893838"/>
    <w:rsid w:val="008B4CCE"/>
    <w:rsid w:val="0093505F"/>
    <w:rsid w:val="00967F47"/>
    <w:rsid w:val="009763BA"/>
    <w:rsid w:val="00A27D9C"/>
    <w:rsid w:val="00A90B25"/>
    <w:rsid w:val="00B06912"/>
    <w:rsid w:val="00B23CB8"/>
    <w:rsid w:val="00B30DF8"/>
    <w:rsid w:val="00D1341C"/>
    <w:rsid w:val="00F10262"/>
    <w:rsid w:val="00F749BE"/>
    <w:rsid w:val="00F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2023-02-07T06:14:00Z</dcterms:created>
  <dcterms:modified xsi:type="dcterms:W3CDTF">2023-02-07T09:07:00Z</dcterms:modified>
</cp:coreProperties>
</file>